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КеАҚ «ӘЛ-ФАРАБИ АТЫНДАҒЫ ҚАЗАҚ ҰЛТТЫҚ УНИВЕРСИТЕТІ»</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Медицина және денсаулық сақтау факультеті</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604.0" w:type="dxa"/>
        <w:jc w:val="left"/>
        <w:tblLayout w:type="fixed"/>
        <w:tblLook w:val="0400"/>
      </w:tblPr>
      <w:tblGrid>
        <w:gridCol w:w="3652"/>
        <w:gridCol w:w="2018"/>
        <w:gridCol w:w="3934"/>
        <w:tblGridChange w:id="0">
          <w:tblGrid>
            <w:gridCol w:w="3652"/>
            <w:gridCol w:w="2018"/>
            <w:gridCol w:w="3934"/>
          </w:tblGrid>
        </w:tblGridChange>
      </w:tblGrid>
      <w:tr>
        <w:trPr>
          <w:cantSplit w:val="0"/>
          <w:trHeight w:val="1963" w:hRule="atLeast"/>
          <w:tblHeader w:val="0"/>
        </w:trPr>
        <w:tc>
          <w:tcPr/>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8">
            <w:pPr>
              <w:spacing w:line="240"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БЕКІТІЛДІ</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Медицина және денсаулық сақтау факультетінің оқыту және оқу сапасы жөніндегі академиялық комитеті</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Хаттама №__1_____</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«26»_</w:t>
            </w:r>
            <w:r w:rsidDel="00000000" w:rsidR="00000000" w:rsidRPr="00000000">
              <w:rPr>
                <w:rFonts w:ascii="inherit" w:cs="inherit" w:eastAsia="inherit" w:hAnsi="inherit"/>
                <w:color w:val="1f1f1f"/>
                <w:sz w:val="42"/>
                <w:szCs w:val="42"/>
                <w:rtl w:val="0"/>
              </w:rPr>
              <w:t xml:space="preserve"> </w:t>
            </w:r>
            <w:r w:rsidDel="00000000" w:rsidR="00000000" w:rsidRPr="00000000">
              <w:rPr>
                <w:rFonts w:ascii="Times New Roman" w:cs="Times New Roman" w:eastAsia="Times New Roman" w:hAnsi="Times New Roman"/>
                <w:b w:val="1"/>
                <w:sz w:val="24"/>
                <w:szCs w:val="24"/>
                <w:rtl w:val="0"/>
              </w:rPr>
              <w:t xml:space="preserve">қыркүйек 2024 ж</w:t>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КЕШЕНДІ ЕМТИХАН БАҒДАРЛАМАСЫ</w:t>
      </w:r>
    </w:p>
    <w:p w:rsidR="00000000" w:rsidDel="00000000" w:rsidP="00000000" w:rsidRDefault="00000000" w:rsidRPr="00000000" w14:paraId="0000001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МОДУЛЬ ҮШІН</w:t>
      </w:r>
    </w:p>
    <w:p w:rsidR="00000000" w:rsidDel="00000000" w:rsidP="00000000" w:rsidRDefault="00000000" w:rsidRPr="00000000" w14:paraId="000000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НЕЙРОПСИХИАТРИЯ НЕГІЗДЕРІ</w:t>
      </w:r>
    </w:p>
    <w:p w:rsidR="00000000" w:rsidDel="00000000" w:rsidP="00000000" w:rsidRDefault="00000000" w:rsidRPr="00000000" w14:paraId="0000001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НЕВРОЛОГИЯ/НЕВРОЛОГИЯ/NEUROLOGY</w:t>
      </w:r>
    </w:p>
    <w:p w:rsidR="00000000" w:rsidDel="00000000" w:rsidP="00000000" w:rsidRDefault="00000000" w:rsidRPr="00000000" w14:paraId="000000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ПСИХИАТРИЯ/ ПСИХИАТРИЯ/ PSYCHIATRY</w:t>
      </w:r>
    </w:p>
    <w:p w:rsidR="00000000" w:rsidDel="00000000" w:rsidP="00000000" w:rsidRDefault="00000000" w:rsidRPr="00000000" w14:paraId="0000001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НАРКОЛОГИЯ/ НАРКОЛОГИЯ/NARCOLOGY</w:t>
      </w:r>
    </w:p>
    <w:p w:rsidR="00000000" w:rsidDel="00000000" w:rsidP="00000000" w:rsidRDefault="00000000" w:rsidRPr="00000000" w14:paraId="00000017">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КУРСА </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6В10103 ОБЩАЯ МЕДИЦИНА</w:t>
      </w: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6В10103</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GENERAL MEDICINE</w:t>
      </w:r>
      <w:r w:rsidDel="00000000" w:rsidR="00000000" w:rsidRPr="00000000">
        <w:rPr>
          <w:rtl w:val="0"/>
        </w:rPr>
      </w:r>
    </w:p>
    <w:p w:rsidR="00000000" w:rsidDel="00000000" w:rsidP="00000000" w:rsidRDefault="00000000" w:rsidRPr="00000000" w14:paraId="0000001B">
      <w:pPr>
        <w:spacing w:after="12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after="120" w:line="240" w:lineRule="auto"/>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after="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2024</w:t>
      </w:r>
    </w:p>
    <w:p w:rsidR="00000000" w:rsidDel="00000000" w:rsidP="00000000" w:rsidRDefault="00000000" w:rsidRPr="00000000" w14:paraId="00000025">
      <w:pPr>
        <w:spacing w:after="12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after="120" w:line="240" w:lineRule="auto"/>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Бағдарлама мақсаты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5 курс студентінің осы модульді оқу барысында алған білімі, дағдылары мен машықтарын кешенді бағалау</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Емтихан 2 кезеңнен тұрып, кешенді түрде өтеді.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кезең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кешенді тестілеу. Оның мақсаты – студенттің теориялық дайындық деңгейін анықтау, дағдыларды меңгеруін, кәсіби іс-әрекеттерге дайындығын,  кәсіби ойлауының даму деңгейін бағалау.  </w:t>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t xml:space="preserve">2 кезең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стандартталған пациентпен ОҚКЕ әдісі бойынша тәжірибелік дағдыларын бағалау. Оның мақсаты -   мамандықтың біліктілік талаптарына сай тәжірибелік және коммуникациялық машықтарды көрсету.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Әр пәннің емтиханын бағалау келесілерден тұрады: </w:t>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Бағалаудың 1 кезеңі - тест бөлімі үшін – 50%</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Бағалаудың 2 кезеңі тәжірибелік кезеңнің сәйкес станциясы үшін – 50% </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студент 4 станциядан өтеді:</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Неврология/ Неврология/ Neurology</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Психиатрия/Психиатрия/Phsychiatria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Наркология/ Наркология/ Narcology</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Жедел жағдайлар/ Неотложные состояния/ Medical emergencies </w:t>
      </w:r>
    </w:p>
    <w:p w:rsidR="00000000" w:rsidDel="00000000" w:rsidP="00000000" w:rsidRDefault="00000000" w:rsidRPr="00000000" w14:paraId="000000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кезең</w:t>
      </w:r>
    </w:p>
    <w:p w:rsidR="00000000" w:rsidDel="00000000" w:rsidP="00000000" w:rsidRDefault="00000000" w:rsidRPr="00000000" w14:paraId="0000003F">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Емтихан тест тапсырмаларының матрицасы </w:t>
      </w:r>
    </w:p>
    <w:tbl>
      <w:tblPr>
        <w:tblStyle w:val="Table2"/>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4"/>
        <w:gridCol w:w="8001"/>
        <w:gridCol w:w="1247"/>
        <w:tblGridChange w:id="0">
          <w:tblGrid>
            <w:gridCol w:w="664"/>
            <w:gridCol w:w="8001"/>
            <w:gridCol w:w="12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Тақырыптар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Барлығы</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4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Неврология</w:t>
            </w:r>
          </w:p>
        </w:tc>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r>
      <w:tr>
        <w:trPr>
          <w:cantSplit w:val="1"/>
          <w:trHeight w:val="41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Herpes zoster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1"/>
          <w:trHeight w:val="265"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Дисциркуляторлы энцефалопатия</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rHeight w:val="2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Перифериялық вегетативті жеткіліксіздік, Рейно синдромы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Өтпелі ишемиялық шабуыл.</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Ишемиялық инсульт</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Геморрагиялық инсульт</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субарахноидальды қан кету</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Фебрильді құрысулар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Жалпыланған идиопатиялық эпилепсия</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Эпилепсия жағдайы</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Абсанстар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шайқалуы</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контузиясы</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жұлынның жарақаты</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Менингит</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Энцефалиттер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Мидың абсцессі</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Моно-полинейропатиялар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Миелиттер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Альцгеймер ауруы</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Паркинсон ауруы және симптоматикалық паркинсонизм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Деменция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Шашыраңқы склероз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Бүйірлік амиотрофиялық склероз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Миопатиялар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миастениялар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Миотониялар</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ми ісіктері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Балалардың церебральды сал ауруы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9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Психиатрия</w:t>
            </w:r>
          </w:p>
        </w:tc>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«Психиатрия» клиникалық пәніне кіріспе. Жалпы психопатология.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Геронтопсихиатрия.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Шизофрения. Балалардағы шизофрения түрі. Шизотиптік және сандырақтық бұзылыстар.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Көңіл-күйдің бұзылуы (аффективті бұзылулар)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Ақыл-ой кемістігі. Деменция.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Физиологиялық бұзылыстармен және физикалық факторлармен байланысты мінез-құлық синдромдары.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Ересектердегі жетілген тұлға мен мінез-құлықтың бұзылуы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Стресске байланысты невротикалық және соматоформалық бұзылулар.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Әдетте балалық және жасөспірімдік шақта басталатын эмоционалдық және мінез-құлық бұзылыстары. Психологиялық (психикалық) дамудың бұзылыстары.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Наркологиялық семиотика және тәуелділік (наркологиялық) бұзылулардың феноменологиясы.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Психофармакотерапия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Психикалық бұзылыстарға шұғыл көмек көрсету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C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eaaaa" w:val="clear"/>
            <w:vAlign w:val="center"/>
          </w:tcPr>
          <w:p w:rsidR="00000000" w:rsidDel="00000000" w:rsidP="00000000" w:rsidRDefault="00000000" w:rsidRPr="00000000" w14:paraId="000000C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Наркология</w:t>
            </w:r>
          </w:p>
        </w:tc>
        <w:tc>
          <w:tcPr>
            <w:tcBorders>
              <w:top w:color="000000" w:space="0" w:sz="4" w:val="single"/>
              <w:left w:color="000000" w:space="0" w:sz="4" w:val="single"/>
              <w:bottom w:color="000000" w:space="0" w:sz="4" w:val="single"/>
              <w:right w:color="000000" w:space="0" w:sz="4" w:val="single"/>
            </w:tcBorders>
            <w:shd w:fill="aeaaaa" w:val="clear"/>
            <w:vAlign w:val="bottom"/>
          </w:tcPr>
          <w:p w:rsidR="00000000" w:rsidDel="00000000" w:rsidP="00000000" w:rsidRDefault="00000000" w:rsidRPr="00000000" w14:paraId="000000C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«Наркология» мамандығына кіріспе, оқу объектісі және міндеттері.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Алкоголизм.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Каннабиноидтарды қолданумен байланысты психикалық және мінез-құлық бұзылыстары.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C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Апиын тобындағы препараттарды қолданумен байланысты психикалық және мінез-құлық бұзылыстары. Кокаинге тәуелділік.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Седативті және ұйықтататын дәрілерді, психостимуляторларды, галлюциногендерді, ұшпа еріткіштерді, диссоциативті заттарды қолдану кезіндегі психикалық және мінез-құлық бұзылыстары.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Психоактивті заттарды қолдану салдарынан психикалық, мінез-құлық бұзылыстары (аурулары) бар адамдарға психотерапевтік және психоәлеуметтік көмек көрсетуді ұйымдастыру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bl>
    <w:p w:rsidR="00000000" w:rsidDel="00000000" w:rsidP="00000000" w:rsidRDefault="00000000" w:rsidRPr="00000000" w14:paraId="000000D9">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STAGE</w:t>
      </w:r>
    </w:p>
    <w:p w:rsidR="00000000" w:rsidDel="00000000" w:rsidP="00000000" w:rsidRDefault="00000000" w:rsidRPr="00000000" w14:paraId="000000DC">
      <w:pPr>
        <w:rPr>
          <w:rFonts w:ascii="Times New Roman" w:cs="Times New Roman" w:eastAsia="Times New Roman" w:hAnsi="Times New Roman"/>
          <w:b w:val="1"/>
          <w:sz w:val="24"/>
          <w:szCs w:val="24"/>
        </w:rPr>
      </w:pPr>
      <w:r w:rsidDel="00000000" w:rsidR="00000000" w:rsidRPr="00000000">
        <w:rPr>
          <w:rtl w:val="0"/>
        </w:rPr>
      </w:r>
    </w:p>
    <w:tbl>
      <w:tblPr>
        <w:tblStyle w:val="Table3"/>
        <w:tblW w:w="99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6"/>
        <w:gridCol w:w="6486"/>
        <w:tblGridChange w:id="0">
          <w:tblGrid>
            <w:gridCol w:w="3426"/>
            <w:gridCol w:w="6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Пән бөлімдері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Сценарийлер </w:t>
            </w:r>
          </w:p>
        </w:tc>
      </w:tr>
      <w:tr>
        <w:trPr>
          <w:cantSplit w:val="0"/>
          <w:tblHeader w:val="0"/>
        </w:trPr>
        <w:tc>
          <w:tcPr>
            <w:vMerge w:val="restart"/>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Неврология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курс</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Шашыраңқы склероз</w:t>
            </w:r>
          </w:p>
        </w:tc>
      </w:tr>
      <w:tr>
        <w:trPr>
          <w:cantSplit w:val="0"/>
          <w:tblHeader w:val="0"/>
        </w:trPr>
        <w:tc>
          <w:tcPr>
            <w:vMerge w:val="continue"/>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Гийен-Барре синдромы</w:t>
            </w:r>
          </w:p>
        </w:tc>
      </w:tr>
      <w:tr>
        <w:trPr>
          <w:cantSplit w:val="0"/>
          <w:tblHeader w:val="0"/>
        </w:trPr>
        <w:tc>
          <w:tcPr>
            <w:vMerge w:val="continue"/>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Паркинсон ауруы</w:t>
            </w:r>
          </w:p>
        </w:tc>
      </w:tr>
      <w:tr>
        <w:trPr>
          <w:cantSplit w:val="0"/>
          <w:trHeight w:val="106" w:hRule="atLeast"/>
          <w:tblHeader w:val="0"/>
        </w:trPr>
        <w:tc>
          <w:tcPr>
            <w:vMerge w:val="restart"/>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7">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rtl w:val="0"/>
              </w:rPr>
              <w:t xml:space="preserve">Психиатрия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Бейімделудің бұзылуы. депрессиялық синдром.</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Ипохондриялық бұзылыс</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Жарақаттан кейінгі стресстік бұзылыс, орташа ұзаққа созылған депрессиялық реакция. Қайғы кезеңі</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Биполярлы аффективті бұзылыс (гипоманиямен депрессия)</w:t>
            </w:r>
          </w:p>
        </w:tc>
      </w:tr>
      <w:tr>
        <w:trPr>
          <w:cantSplit w:val="0"/>
          <w:trHeight w:val="104" w:hRule="atLeast"/>
          <w:tblHeader w:val="0"/>
        </w:trPr>
        <w:tc>
          <w:tcPr>
            <w:vMerge w:val="continue"/>
            <w:tcBorders>
              <w:top w:color="000000" w:space="0" w:sz="4" w:val="single"/>
              <w:left w:color="000000" w:space="0" w:sz="4" w:val="single"/>
              <w:right w:color="000000" w:space="0" w:sz="4" w:val="single"/>
            </w:tcBorders>
            <w:vAlign w:val="bottom"/>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Жаман жаңалықты жеткізу. Қайғы кезеңін анықтау</w:t>
            </w:r>
          </w:p>
        </w:tc>
      </w:tr>
      <w:tr>
        <w:trPr>
          <w:cantSplit w:val="0"/>
          <w:trHeight w:val="32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Наркология</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Ингаляциялық заттарды теріс пайдалану</w:t>
            </w:r>
          </w:p>
        </w:tc>
      </w:tr>
      <w:tr>
        <w:trPr>
          <w:cantSplit w:val="0"/>
          <w:trHeight w:val="106"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F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Жедел жағдайлар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Субарахноидальды қан кету</w:t>
            </w:r>
          </w:p>
        </w:tc>
      </w:tr>
      <w:tr>
        <w:trPr>
          <w:cantSplit w:val="0"/>
          <w:trHeight w:val="585"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Абстиненттік синдроммен алкогольдік делирий. Бауырдың алкогольдік стеатозы</w:t>
            </w:r>
          </w:p>
        </w:tc>
      </w:tr>
    </w:tbl>
    <w:p w:rsidR="00000000" w:rsidDel="00000000" w:rsidP="00000000" w:rsidRDefault="00000000" w:rsidRPr="00000000" w14:paraId="000000F7">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0" w:line="240" w:lineRule="auto"/>
        <w:ind w:left="142"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Емтихандарды тапсыру реті</w:t>
      </w:r>
    </w:p>
    <w:p w:rsidR="00000000" w:rsidDel="00000000" w:rsidP="00000000" w:rsidRDefault="00000000" w:rsidRPr="00000000" w14:paraId="000001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кезең – Startexam-да MCQ бойынша тестілеу.</w:t>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бір студенттен 300 тест сұрағына жауап беру сұралады. Әр бір сұраққа 1,5 минут уақыт беріледі. </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Тестілеу әр топтың емтихан кестесіне сай 3 рет ұйымдастырылып, психиатриядан/неврологиядан/ наркология  тест 100 сұрақтан тұратын болады. </w:t>
      </w:r>
    </w:p>
    <w:p w:rsidR="00000000" w:rsidDel="00000000" w:rsidP="00000000" w:rsidRDefault="00000000" w:rsidRPr="00000000" w14:paraId="000001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кезең - ОҚКЕ (объективті құрылымдық кешенді емтихан) симуляциялық орталықта стандартталған пациентпен 4 станцияда өткізіледі</w:t>
      </w:r>
    </w:p>
    <w:p w:rsidR="00000000" w:rsidDel="00000000" w:rsidP="00000000" w:rsidRDefault="00000000" w:rsidRPr="00000000" w14:paraId="000001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бір студентке идентификациялық нөмір тағайындалып, ол нөмірге белгілі бір сценарийлер жиынтығы сәйкес келеді. Әр студент 4 станциядан өтіп, әр станциядаға 30 минут уақыт беріледі. Студенттің сценарийлерге жауаптары ауызша және жазбаша түрде берілуі  тиіс. </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станциядағы тапсырмалар (тапсырмалар матрицасына сәйкес) клиникалық жағдайларға негізделіп жасалынған.</w:t>
      </w:r>
    </w:p>
    <w:p w:rsidR="00000000" w:rsidDel="00000000" w:rsidP="00000000" w:rsidRDefault="00000000" w:rsidRPr="00000000" w14:paraId="00000108">
      <w:pPr>
        <w:spacing w:line="240"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1 станция – «Неврология» - Студент белгілі бір патологияда (клиникалық жағдайлар тізіміне сәйкес) стандартталған пациентте (қарау, санасын, ми жұп нервтерінің қызметін, қозғалыс және сезім жүйесінің қызметін, когнитивті сфераның қызметін бағалау) анамнез жинау, неврологиялық статусты тексеру дағдыларын, табылған нәтижелерді анықтап, интерпретациялау,  лабораториялық-аспаптық зерттеу нәтижелері (қан талдауы, липидті профиль, коагулограмма, жұлын сұйықтығын талдау, жұлын сұйықтығының бактериологиялық талдауы, бас сүйегінің Р-граммасы, ми мен жұлынның КТ мен МРТ, ЭЭГ және т.б.) нәтижелерін интерпретациялау қабілетін көрсету керек.   Студент пациенттің шағымдары, анамнезі, физикалық тексеру нәтижелеріне сүйене отырып, болжамды диагноз қойып, пациентті тексеру жоспарын құра алу керек. Студент станцияда берілген лабораториялық-аспаптық зерттеу нәтижелерін талдап, диагноз қойып, ем жоспарын тағайындау қажет. Мәліметтер кешенінің негізінде студент қорытынды диагноз қойып, ем тағайындау қажет.</w:t>
      </w:r>
    </w:p>
    <w:p w:rsidR="00000000" w:rsidDel="00000000" w:rsidP="00000000" w:rsidRDefault="00000000" w:rsidRPr="00000000" w14:paraId="00000109">
      <w:pPr>
        <w:spacing w:after="0" w:line="240" w:lineRule="auto"/>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2 станция – «Психиатрия» - студент белгілі бір патологиядағы жетекші клиникалық және психопатологиялық синдромды (клиникалық жағдайлар тізбесі бойынша) бөлу арқылы алынған мәліметтерді (психиатриялық әңгіме, объективті және субъективті анамнез, соматикалық, неврологиялық және психикалық статус) интерпретациялау дағдыларын көрсетуі керек. стандартталған пациент туралы (қарау, соматикалық және неврологиялық, психикалық жағдайды бағалау) және анықталған клиникалық және психопатологиялық белгілерді анықтау және түсіндіру мүмкіндігі); нейробейнелеу, зертханалық және аспаптық зерттеу нәтижелерін интерпретациялау дағдылары (жағдайдың сипаттамасына сәйкес) - станцияда оған диагнозды түсіндіру және тұжырымдау және емдеу жоспарын құру қажет емтихан нәтижелерінің жиынтығы ұсынылады. .</w:t>
      </w:r>
    </w:p>
    <w:p w:rsidR="00000000" w:rsidDel="00000000" w:rsidP="00000000" w:rsidRDefault="00000000" w:rsidRPr="00000000" w14:paraId="000001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станция – «Наркология» - студент белгілі бір патологиядағы жетекші клиникалық және психопатологиялық синдромды (клиникалық жағдайлар тізбесі бойынша) бөлу арқылы алынған мәліметтерді (психиатриялық әңгіме, объективті және субъективті анамнез, соматикалық, неврологиялық және психикалық статус) интерпретациялау дағдыларын көрсетуі керек. стандартталған пациент туралы (қарау, соматикалық және неврологиялық, психикалық жағдайды бағалау) және анықталған клиникалық және психопатологиялық белгілерді анықтау және түсіндіру мүмкіндігі); нейробейнелеу, зертханалық және аспаптық зерттеу нәтижелерін интерпретациялау дағдылары (жағдайдың сипаттамасына сәйкес) - станцияда оған диагнозды түсіндіру және тұжырымдау және емдеу жоспарын құру қажет емтихан нәтижелерінің жиынтығы ұсынылады. .</w:t>
      </w:r>
    </w:p>
    <w:p w:rsidR="00000000" w:rsidDel="00000000" w:rsidP="00000000" w:rsidRDefault="00000000" w:rsidRPr="00000000" w14:paraId="000001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станция – «Жедел жағдайлар» – студент пациенттің жағдайын жылдам бағалау дағдысын көрсетуі тиіс, шұғыл көмек қажет ететін жағдайдың диагнозын критерийлер бойынша анықтап, алгоритм бойынша көмек көрсетуі тиіс, қажет болған жағдайда өз әрекеттеріне түсініктеме беріп отыруы керек; көрсетілген көмектің тиімділігін бағалау, мүмкін болатын асқынулары мен салдары бойынша білімін көрсетуі қажет. Сондай-ақ шұғыл көмек көрсету барысында іс-әрекеті мен өз өзін ұстауы, науқастың жағдайы мен қауіпсіздігіне көңіл бөлетіндігі бағаланады.</w:t>
      </w:r>
    </w:p>
    <w:p w:rsidR="00000000" w:rsidDel="00000000" w:rsidP="00000000" w:rsidRDefault="00000000" w:rsidRPr="00000000" w14:paraId="000001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 бір станциядағы тапсырмалар жиынтығы әр студент үшін дара және қайталанбайды.</w:t>
      </w:r>
    </w:p>
    <w:sectPr>
      <w:pgSz w:h="16838" w:w="11906" w:orient="portrait"/>
      <w:pgMar w:bottom="1134" w:top="1134" w:left="993" w:right="9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165E4"/>
    <w:pPr>
      <w:spacing w:after="200" w:line="276" w:lineRule="auto"/>
    </w:pPr>
    <w:rPr>
      <w:lang w:val="ru-R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11" w:customStyle="1">
    <w:name w:val="Без интервала11"/>
    <w:uiPriority w:val="99"/>
    <w:qFormat w:val="1"/>
    <w:rsid w:val="003165E4"/>
    <w:pPr>
      <w:spacing w:after="0" w:line="240" w:lineRule="auto"/>
    </w:pPr>
    <w:rPr>
      <w:rFonts w:ascii="Calibri" w:cs="Times New Roman" w:eastAsia="Times New Roman" w:hAnsi="Calibri"/>
      <w:lang w:val="ru-RU"/>
    </w:rPr>
  </w:style>
  <w:style w:type="paragraph" w:styleId="ListParagraph">
    <w:name w:val="List Paragraph"/>
    <w:aliases w:val="Bullets,List Paragraph (numbered (a)),NUMBERED PARAGRAPH,List Paragraph 1,List_Paragraph,Multilevel para_II,Akapit z listą BS,IBL List Paragraph,List Paragraph nowy,Numbered List Paragraph,Bullet1,Numbered list,NumberedParas,Forth level"/>
    <w:basedOn w:val="Normal"/>
    <w:link w:val="ListParagraphChar"/>
    <w:uiPriority w:val="34"/>
    <w:qFormat w:val="1"/>
    <w:rsid w:val="003165E4"/>
    <w:pPr>
      <w:spacing w:after="0" w:line="240" w:lineRule="auto"/>
      <w:ind w:left="720"/>
      <w:contextualSpacing w:val="1"/>
    </w:pPr>
    <w:rPr>
      <w:rFonts w:ascii="Times New Roman" w:cs="Times New Roman" w:eastAsia="Times New Roman" w:hAnsi="Times New Roman"/>
      <w:sz w:val="24"/>
      <w:szCs w:val="24"/>
      <w:lang w:eastAsia="ru-RU"/>
    </w:rPr>
  </w:style>
  <w:style w:type="character" w:styleId="ListParagraphChar" w:customStyle="1">
    <w:name w:val="List Paragraph Char"/>
    <w:aliases w:val="Bullets Char,List Paragraph (numbered (a)) Char,NUMBERED PARAGRAPH Char,List Paragraph 1 Char,List_Paragraph Char,Multilevel para_II Char,Akapit z listą BS Char,IBL List Paragraph Char,List Paragraph nowy Char,Bullet1 Char"/>
    <w:link w:val="ListParagraph"/>
    <w:uiPriority w:val="34"/>
    <w:rsid w:val="003165E4"/>
    <w:rPr>
      <w:rFonts w:ascii="Times New Roman" w:cs="Times New Roman" w:eastAsia="Times New Roman" w:hAnsi="Times New Roman"/>
      <w:sz w:val="24"/>
      <w:szCs w:val="24"/>
      <w:lang w:eastAsia="ru-RU" w:val="ru-RU"/>
    </w:rPr>
  </w:style>
  <w:style w:type="table" w:styleId="TableGrid">
    <w:name w:val="Table Grid"/>
    <w:basedOn w:val="TableNormal"/>
    <w:uiPriority w:val="39"/>
    <w:rsid w:val="003165E4"/>
    <w:pPr>
      <w:spacing w:after="0" w:line="240" w:lineRule="auto"/>
    </w:pPr>
    <w:rPr>
      <w:lang w:val="ru-RU"/>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shorttext" w:customStyle="1">
    <w:name w:val="short_text"/>
    <w:basedOn w:val="DefaultParagraphFont"/>
    <w:rsid w:val="003165E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gmE3o0q8+yLb5MUIPy5qCIZJaA==">CgMxLjAyCGguZ2pkZ3hzMgloLjMwajB6bGwyCWguMWZvYjl0ZTgAciExYjhxTG9FN2UwMFl3cVdkdFR6UlJVOEhuZXZXaGlSUHQ=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2023-10-17T06:39:00Z</dcterms:created>
  <dc:creator>Admin</dc:creator>
</cp:coreProperties>
</file>